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59CD2" w14:textId="213E4265" w:rsidR="004E2EAE" w:rsidRPr="00E450FF" w:rsidRDefault="004E2EAE" w:rsidP="004E2EAE">
      <w:pPr>
        <w:tabs>
          <w:tab w:val="center" w:pos="4536"/>
          <w:tab w:val="right" w:pos="9639"/>
        </w:tabs>
        <w:ind w:left="1440" w:right="2" w:hanging="1440"/>
        <w:rPr>
          <w:rFonts w:cs="Arial"/>
          <w:b/>
          <w:bCs/>
          <w:sz w:val="28"/>
          <w:szCs w:val="24"/>
        </w:rPr>
      </w:pPr>
      <w:r w:rsidRPr="00E450FF">
        <w:rPr>
          <w:rFonts w:cs="Arial"/>
          <w:b/>
          <w:bCs/>
          <w:sz w:val="28"/>
          <w:szCs w:val="24"/>
        </w:rPr>
        <w:t>3GPP TSG RAN WG1 Meeting #93</w:t>
      </w:r>
      <w:r w:rsidRPr="00E450FF">
        <w:rPr>
          <w:rFonts w:cs="Arial"/>
          <w:b/>
          <w:bCs/>
          <w:sz w:val="28"/>
          <w:szCs w:val="24"/>
        </w:rPr>
        <w:tab/>
      </w:r>
      <w:r w:rsidRPr="00E450FF">
        <w:rPr>
          <w:rFonts w:cs="Arial"/>
          <w:b/>
          <w:bCs/>
          <w:sz w:val="28"/>
          <w:szCs w:val="24"/>
        </w:rPr>
        <w:tab/>
        <w:t>R1-18</w:t>
      </w:r>
      <w:r w:rsidRPr="00E450FF">
        <w:rPr>
          <w:rFonts w:eastAsia="MS Mincho" w:cs="Arial"/>
          <w:b/>
          <w:bCs/>
          <w:sz w:val="28"/>
          <w:szCs w:val="24"/>
          <w:lang w:eastAsia="ja-JP"/>
        </w:rPr>
        <w:t>0</w:t>
      </w:r>
      <w:r w:rsidR="0064678D">
        <w:rPr>
          <w:rFonts w:eastAsia="MS Mincho" w:cs="Arial"/>
          <w:b/>
          <w:bCs/>
          <w:sz w:val="28"/>
          <w:szCs w:val="24"/>
          <w:lang w:eastAsia="ja-JP"/>
        </w:rPr>
        <w:t>7505</w:t>
      </w:r>
    </w:p>
    <w:p w14:paraId="32EDD9B7" w14:textId="77777777" w:rsidR="004E2EAE" w:rsidRPr="00E450FF" w:rsidRDefault="004E2EAE" w:rsidP="004E2EAE">
      <w:pPr>
        <w:tabs>
          <w:tab w:val="center" w:pos="4536"/>
          <w:tab w:val="right" w:pos="9072"/>
        </w:tabs>
        <w:ind w:left="1440" w:hanging="1440"/>
        <w:rPr>
          <w:rFonts w:eastAsia="MS Mincho" w:cs="Arial"/>
          <w:b/>
          <w:bCs/>
          <w:sz w:val="28"/>
          <w:szCs w:val="24"/>
          <w:lang w:eastAsia="ja-JP"/>
        </w:rPr>
      </w:pPr>
      <w:bookmarkStart w:id="0" w:name="_Hlk514773621"/>
      <w:r w:rsidRPr="00E450FF">
        <w:rPr>
          <w:rFonts w:eastAsia="MS Mincho" w:cs="Arial"/>
          <w:b/>
          <w:bCs/>
          <w:sz w:val="28"/>
          <w:szCs w:val="24"/>
          <w:lang w:eastAsia="ja-JP"/>
        </w:rPr>
        <w:t>Busan, Korea, May 21</w:t>
      </w:r>
      <w:r w:rsidRPr="00E450FF">
        <w:rPr>
          <w:rFonts w:eastAsia="MS Mincho" w:cs="Arial"/>
          <w:b/>
          <w:bCs/>
          <w:sz w:val="28"/>
          <w:szCs w:val="24"/>
          <w:vertAlign w:val="superscript"/>
          <w:lang w:eastAsia="ja-JP"/>
        </w:rPr>
        <w:t>st</w:t>
      </w:r>
      <w:r w:rsidRPr="00E450FF">
        <w:rPr>
          <w:rFonts w:eastAsia="MS Mincho" w:cs="Arial"/>
          <w:b/>
          <w:bCs/>
          <w:sz w:val="28"/>
          <w:szCs w:val="24"/>
          <w:lang w:eastAsia="ja-JP"/>
        </w:rPr>
        <w:t xml:space="preserve"> – 25</w:t>
      </w:r>
      <w:r w:rsidRPr="00E450FF">
        <w:rPr>
          <w:rFonts w:eastAsia="MS Mincho" w:cs="Arial"/>
          <w:b/>
          <w:bCs/>
          <w:sz w:val="28"/>
          <w:szCs w:val="24"/>
          <w:vertAlign w:val="superscript"/>
          <w:lang w:eastAsia="ja-JP"/>
        </w:rPr>
        <w:t>th</w:t>
      </w:r>
      <w:r w:rsidRPr="00E450FF">
        <w:rPr>
          <w:rFonts w:eastAsia="MS Mincho" w:cs="Arial"/>
          <w:b/>
          <w:bCs/>
          <w:sz w:val="28"/>
          <w:szCs w:val="24"/>
          <w:lang w:eastAsia="ja-JP"/>
        </w:rPr>
        <w:t xml:space="preserve">, 2018 </w:t>
      </w:r>
    </w:p>
    <w:bookmarkEnd w:id="0"/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1247055A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117A35" w:rsidRPr="00117A35">
        <w:rPr>
          <w:rFonts w:cs="Arial"/>
          <w:b/>
          <w:highlight w:val="yellow"/>
          <w:lang w:val="en-US"/>
        </w:rPr>
        <w:t>[Draft]</w:t>
      </w:r>
      <w:r w:rsidR="00117A35">
        <w:rPr>
          <w:rFonts w:cs="Arial"/>
          <w:b/>
          <w:lang w:val="en-US"/>
        </w:rPr>
        <w:t xml:space="preserve"> </w:t>
      </w:r>
      <w:r w:rsidR="004E2EAE" w:rsidRPr="004E2EAE">
        <w:rPr>
          <w:rFonts w:eastAsiaTheme="minorEastAsia" w:cs="Arial"/>
          <w:b/>
          <w:lang w:val="en-US"/>
        </w:rPr>
        <w:t>LS on parameters and capabilities for SRS antenna switching</w:t>
      </w:r>
      <w:r w:rsidR="006B3C8A" w:rsidRPr="00A10FDA">
        <w:rPr>
          <w:rFonts w:cs="Arial"/>
          <w:b/>
          <w:lang w:val="en-US"/>
        </w:rPr>
        <w:t xml:space="preserve">  </w:t>
      </w:r>
    </w:p>
    <w:p w14:paraId="34BFE103" w14:textId="6FBB2C0E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4E2EAE">
        <w:rPr>
          <w:rFonts w:eastAsiaTheme="minorEastAsia" w:cs="Arial"/>
          <w:b/>
          <w:lang w:val="en-US"/>
        </w:rPr>
        <w:t>5</w:t>
      </w:r>
    </w:p>
    <w:p w14:paraId="402804C2" w14:textId="2E8AF0BD" w:rsidR="00FE5643" w:rsidRPr="004E2EAE" w:rsidRDefault="00FE5643" w:rsidP="00FE5643">
      <w:pPr>
        <w:spacing w:after="60"/>
        <w:ind w:left="1985" w:hanging="1985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4E2EAE" w:rsidRPr="004E2EAE">
        <w:rPr>
          <w:rFonts w:eastAsiaTheme="minorEastAsia" w:cs="Arial"/>
          <w:b/>
          <w:lang w:val="en-US"/>
        </w:rPr>
        <w:t>TEI15</w:t>
      </w:r>
    </w:p>
    <w:p w14:paraId="28BD1588" w14:textId="436CDFFF" w:rsidR="00A10FDA" w:rsidRPr="004E2EAE" w:rsidRDefault="00A10FDA" w:rsidP="00117A35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117A35" w:rsidRPr="00117A35">
        <w:rPr>
          <w:b/>
          <w:lang w:val="en-US"/>
        </w:rPr>
        <w:t>R1-180</w:t>
      </w:r>
      <w:r w:rsidR="004E2EAE">
        <w:rPr>
          <w:b/>
          <w:lang w:val="en-US"/>
        </w:rPr>
        <w:t>7504(CR1075)</w:t>
      </w:r>
      <w:r w:rsidR="002824C4">
        <w:rPr>
          <w:b/>
          <w:lang w:val="en-US"/>
        </w:rPr>
        <w:t xml:space="preserve"> </w:t>
      </w:r>
      <w:r w:rsidR="00117A35" w:rsidRPr="00117A35">
        <w:rPr>
          <w:b/>
          <w:lang w:val="en-US"/>
        </w:rPr>
        <w:tab/>
      </w:r>
      <w:r w:rsidR="004E2EAE" w:rsidRPr="004E2EAE">
        <w:rPr>
          <w:b/>
          <w:lang w:val="en-US"/>
        </w:rPr>
        <w:t>Introduction of SRS antenna switching for four ports in TS36.213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6A9E9003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117A35" w:rsidRPr="00117A35">
        <w:rPr>
          <w:b/>
          <w:lang w:val="en-US"/>
        </w:rPr>
        <w:t>Qualcomm Incorporated</w:t>
      </w:r>
      <w:r w:rsidR="00117A35">
        <w:rPr>
          <w:rFonts w:cs="Arial"/>
          <w:bCs/>
          <w:lang w:val="en-US"/>
        </w:rPr>
        <w:t xml:space="preserve"> </w:t>
      </w:r>
      <w:r w:rsidR="00117A35" w:rsidRPr="00117A35">
        <w:rPr>
          <w:rFonts w:cs="Arial"/>
          <w:b/>
          <w:bCs/>
          <w:lang w:val="en-US"/>
        </w:rPr>
        <w:t>[</w:t>
      </w:r>
      <w:r w:rsidR="00B3796E" w:rsidRPr="00117A35">
        <w:rPr>
          <w:rFonts w:cs="Arial"/>
          <w:b/>
          <w:bCs/>
          <w:highlight w:val="yellow"/>
          <w:lang w:val="en-US"/>
        </w:rPr>
        <w:t>RAN1</w:t>
      </w:r>
      <w:r w:rsidR="00117A35">
        <w:rPr>
          <w:rFonts w:cs="Arial"/>
          <w:b/>
          <w:bCs/>
          <w:lang w:val="en-US"/>
        </w:rPr>
        <w:t>]</w:t>
      </w:r>
    </w:p>
    <w:p w14:paraId="524FBF42" w14:textId="57A389FA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RAN2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5216A339" w:rsidR="00FE5643" w:rsidRPr="00BB7B59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BB7B59">
        <w:rPr>
          <w:rFonts w:eastAsia="SimSun" w:cs="Arial"/>
          <w:b/>
          <w:lang w:val="en-US"/>
        </w:rPr>
        <w:t>Name:</w:t>
      </w:r>
      <w:r w:rsidRPr="00BB7B59">
        <w:rPr>
          <w:rFonts w:eastAsia="SimSun" w:cs="Arial"/>
          <w:bCs/>
          <w:lang w:val="en-US"/>
        </w:rPr>
        <w:tab/>
      </w:r>
      <w:r w:rsidR="004E2EAE">
        <w:rPr>
          <w:rFonts w:eastAsiaTheme="minorEastAsia" w:cs="Arial"/>
          <w:bCs/>
          <w:lang w:val="en-US"/>
        </w:rPr>
        <w:t>Le Liu</w:t>
      </w:r>
    </w:p>
    <w:p w14:paraId="520FD43C" w14:textId="7C884021" w:rsidR="00FE5643" w:rsidRPr="00BB7B59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BB7B59">
        <w:rPr>
          <w:rFonts w:eastAsia="SimSun" w:cs="Arial"/>
          <w:b/>
          <w:lang w:val="en-US"/>
        </w:rPr>
        <w:t>E-mail Address:</w:t>
      </w:r>
      <w:r w:rsidRPr="00BB7B59">
        <w:rPr>
          <w:rFonts w:eastAsia="SimSun" w:cs="Arial"/>
          <w:b/>
          <w:lang w:val="en-US"/>
        </w:rPr>
        <w:tab/>
      </w:r>
      <w:r w:rsidR="004E2EAE">
        <w:rPr>
          <w:rFonts w:eastAsiaTheme="minorEastAsia" w:cs="Arial"/>
          <w:lang w:val="en-US"/>
        </w:rPr>
        <w:t>leliu</w:t>
      </w:r>
      <w:r w:rsidR="00C22AF0" w:rsidRPr="00BB7B59">
        <w:rPr>
          <w:rFonts w:eastAsiaTheme="minorEastAsia" w:cs="Arial"/>
          <w:lang w:val="en-US"/>
        </w:rPr>
        <w:t>@qti.qualcomm.com</w:t>
      </w:r>
    </w:p>
    <w:p w14:paraId="2AC65870" w14:textId="29007C3D" w:rsidR="00C22AF0" w:rsidRPr="00BB7B59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n-US"/>
        </w:rPr>
      </w:pPr>
    </w:p>
    <w:p w14:paraId="24F54A08" w14:textId="5CF71E04" w:rsidR="001E0781" w:rsidRPr="00BB7B59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477F051" w14:textId="448075FE" w:rsidR="00E70A8E" w:rsidRDefault="00C22AF0" w:rsidP="00A10FDA">
      <w:pPr>
        <w:rPr>
          <w:rFonts w:cs="Arial"/>
          <w:iCs/>
          <w:lang w:val="en-US" w:eastAsia="ko-KR"/>
        </w:rPr>
      </w:pPr>
      <w:r w:rsidRPr="00A10FDA">
        <w:rPr>
          <w:rFonts w:cs="Arial"/>
          <w:iCs/>
          <w:lang w:val="en-US" w:eastAsia="ko-KR"/>
        </w:rPr>
        <w:t>RAN1</w:t>
      </w:r>
      <w:r w:rsidR="006B3C8A" w:rsidRPr="00A10FDA">
        <w:rPr>
          <w:rFonts w:cs="Arial"/>
          <w:iCs/>
          <w:lang w:val="en-US" w:eastAsia="ko-KR"/>
        </w:rPr>
        <w:t xml:space="preserve"> </w:t>
      </w:r>
      <w:r w:rsidR="004E2EAE">
        <w:rPr>
          <w:rFonts w:cs="Arial"/>
          <w:iCs/>
          <w:lang w:val="en-US" w:eastAsia="ko-KR"/>
        </w:rPr>
        <w:t>agreed the CR</w:t>
      </w:r>
      <w:r w:rsidR="002824C4">
        <w:rPr>
          <w:rFonts w:cs="Arial"/>
          <w:iCs/>
          <w:lang w:val="en-US" w:eastAsia="ko-KR"/>
        </w:rPr>
        <w:t>1075</w:t>
      </w:r>
      <w:r w:rsidR="00117A35">
        <w:rPr>
          <w:rFonts w:cs="Arial"/>
          <w:iCs/>
          <w:lang w:val="en-US" w:eastAsia="ko-KR"/>
        </w:rPr>
        <w:t xml:space="preserve"> for </w:t>
      </w:r>
      <w:r w:rsidR="004E2EAE" w:rsidRPr="004E2EAE">
        <w:rPr>
          <w:rFonts w:cs="Arial"/>
          <w:iCs/>
          <w:lang w:val="en-US" w:eastAsia="ko-KR"/>
        </w:rPr>
        <w:t>Introduction of SRS antenna switching for four ports in TS36.213</w:t>
      </w:r>
      <w:r w:rsidR="00117A35">
        <w:rPr>
          <w:rFonts w:cs="Arial"/>
          <w:iCs/>
          <w:lang w:val="en-US" w:eastAsia="ko-KR"/>
        </w:rPr>
        <w:t xml:space="preserve"> in </w:t>
      </w:r>
      <w:r w:rsidR="00117A35" w:rsidRPr="00117A35">
        <w:rPr>
          <w:rFonts w:cs="Arial"/>
          <w:iCs/>
          <w:lang w:val="en-US" w:eastAsia="ko-KR"/>
        </w:rPr>
        <w:t>R1-180</w:t>
      </w:r>
      <w:r w:rsidR="004E2EAE">
        <w:rPr>
          <w:rFonts w:cs="Arial"/>
          <w:iCs/>
          <w:lang w:val="en-US" w:eastAsia="ko-KR"/>
        </w:rPr>
        <w:t>7504</w:t>
      </w:r>
      <w:r w:rsidR="00117A35">
        <w:rPr>
          <w:rFonts w:cs="Arial"/>
          <w:iCs/>
          <w:lang w:val="en-US" w:eastAsia="ko-KR"/>
        </w:rPr>
        <w:t>.</w:t>
      </w:r>
      <w:r w:rsidR="00E70A8E">
        <w:rPr>
          <w:rFonts w:cs="Arial"/>
          <w:iCs/>
          <w:lang w:val="en-US" w:eastAsia="ko-KR"/>
        </w:rPr>
        <w:t xml:space="preserve"> For support of this feature, the following </w:t>
      </w:r>
      <w:r w:rsidR="001F0DF5">
        <w:rPr>
          <w:rFonts w:cs="Arial"/>
          <w:iCs/>
          <w:lang w:val="en-US" w:eastAsia="ko-KR"/>
        </w:rPr>
        <w:t xml:space="preserve">UE-specific </w:t>
      </w:r>
      <w:r w:rsidR="00E70A8E">
        <w:rPr>
          <w:rFonts w:cs="Arial"/>
          <w:iCs/>
          <w:lang w:val="en-US" w:eastAsia="ko-KR"/>
        </w:rPr>
        <w:t>RRC parameters are needed (per serving cell):</w:t>
      </w:r>
    </w:p>
    <w:p w14:paraId="3C7DF40B" w14:textId="07C6F89D" w:rsidR="00E70A8E" w:rsidRPr="005C1B18" w:rsidRDefault="00E70A8E" w:rsidP="00E70A8E">
      <w:pPr>
        <w:pStyle w:val="ListParagraph"/>
        <w:numPr>
          <w:ilvl w:val="0"/>
          <w:numId w:val="39"/>
        </w:numPr>
        <w:rPr>
          <w:rFonts w:cs="Arial"/>
          <w:iCs/>
          <w:lang w:val="en-US" w:eastAsia="ko-KR"/>
        </w:rPr>
      </w:pPr>
      <w:r w:rsidRPr="005C1B18">
        <w:rPr>
          <w:i/>
          <w:u w:val="single"/>
          <w:lang w:eastAsia="ko-KR"/>
        </w:rPr>
        <w:t>SRS-Antenna-Switching-1T4R</w:t>
      </w:r>
      <w:r w:rsidRPr="005C1B18">
        <w:rPr>
          <w:u w:val="single"/>
          <w:lang w:eastAsia="ko-KR"/>
        </w:rPr>
        <w:t>:</w:t>
      </w:r>
      <w:r>
        <w:rPr>
          <w:lang w:eastAsia="ko-KR"/>
        </w:rPr>
        <w:t xml:space="preserve"> </w:t>
      </w:r>
      <w:r w:rsidR="00D86155">
        <w:rPr>
          <w:lang w:eastAsia="ko-KR"/>
        </w:rPr>
        <w:t>SRS a</w:t>
      </w:r>
      <w:r>
        <w:rPr>
          <w:lang w:eastAsia="ko-KR"/>
        </w:rPr>
        <w:t>ntenna switching with 1T4R is enabled in a given serving cell.</w:t>
      </w:r>
    </w:p>
    <w:p w14:paraId="01ED9E2B" w14:textId="31DCDF78" w:rsidR="00E70A8E" w:rsidRPr="00AF62CD" w:rsidRDefault="00E70A8E" w:rsidP="00E70A8E">
      <w:pPr>
        <w:pStyle w:val="ListParagraph"/>
        <w:numPr>
          <w:ilvl w:val="0"/>
          <w:numId w:val="39"/>
        </w:numPr>
        <w:rPr>
          <w:rFonts w:cs="Arial"/>
          <w:iCs/>
          <w:lang w:val="en-US" w:eastAsia="ko-KR"/>
        </w:rPr>
      </w:pPr>
      <w:r w:rsidRPr="005C1B18">
        <w:rPr>
          <w:i/>
          <w:u w:val="single"/>
          <w:lang w:eastAsia="ko-KR"/>
        </w:rPr>
        <w:t>SRS-Antenna-Switching-2T4R:</w:t>
      </w:r>
      <w:r>
        <w:rPr>
          <w:i/>
          <w:lang w:eastAsia="ko-KR"/>
        </w:rPr>
        <w:t xml:space="preserve"> </w:t>
      </w:r>
      <w:r w:rsidR="00D86155">
        <w:rPr>
          <w:lang w:eastAsia="ko-KR"/>
        </w:rPr>
        <w:t>SRS a</w:t>
      </w:r>
      <w:r>
        <w:rPr>
          <w:lang w:eastAsia="ko-KR"/>
        </w:rPr>
        <w:t>ntenna switching with 2T4R is enabled in a given serving cell.</w:t>
      </w:r>
    </w:p>
    <w:p w14:paraId="425D37C1" w14:textId="26EA171A" w:rsidR="00433D6B" w:rsidRPr="00433D6B" w:rsidRDefault="00E70A8E" w:rsidP="00E70A8E">
      <w:pPr>
        <w:pStyle w:val="ListParagraph"/>
        <w:numPr>
          <w:ilvl w:val="1"/>
          <w:numId w:val="39"/>
        </w:num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 xml:space="preserve">For the case where a serving cell is configured with </w:t>
      </w:r>
      <w:r>
        <w:rPr>
          <w:i/>
          <w:lang w:eastAsia="ko-KR"/>
        </w:rPr>
        <w:t>SRS-Antenna-Switching-2T4R</w:t>
      </w:r>
      <w:r>
        <w:rPr>
          <w:lang w:eastAsia="ko-KR"/>
        </w:rPr>
        <w:t xml:space="preserve">, the </w:t>
      </w: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 xml:space="preserve"> </w:t>
      </w:r>
      <w:proofErr w:type="gramStart"/>
      <w:r>
        <w:rPr>
          <w:lang w:eastAsia="ko-KR"/>
        </w:rPr>
        <w:t>has to</w:t>
      </w:r>
      <w:proofErr w:type="gramEnd"/>
      <w:r>
        <w:rPr>
          <w:lang w:eastAsia="ko-KR"/>
        </w:rPr>
        <w:t xml:space="preserve"> additionally configure </w:t>
      </w:r>
      <w:r w:rsidRPr="005C1B18">
        <w:rPr>
          <w:i/>
          <w:u w:val="single"/>
        </w:rPr>
        <w:t>SRS-Antenna-Switching-2T4R-NrofPairs</w:t>
      </w:r>
      <w:r>
        <w:t>, with</w:t>
      </w:r>
      <w:r w:rsidR="00433D6B">
        <w:t xml:space="preserve"> </w:t>
      </w:r>
      <w:r>
        <w:t>value</w:t>
      </w:r>
      <w:r w:rsidR="003E7F3D">
        <w:t xml:space="preserve"> range</w:t>
      </w:r>
      <w:r>
        <w:t xml:space="preserve"> </w:t>
      </w:r>
      <w:r w:rsidR="00433D6B">
        <w:t>of</w:t>
      </w:r>
      <w:r>
        <w:t xml:space="preserve"> {2</w:t>
      </w:r>
      <w:r w:rsidR="003E7F3D">
        <w:t xml:space="preserve">, </w:t>
      </w:r>
      <w:r>
        <w:t>3}</w:t>
      </w:r>
      <w:r w:rsidR="00433D6B">
        <w:t xml:space="preserve">, where </w:t>
      </w:r>
    </w:p>
    <w:p w14:paraId="01A7F993" w14:textId="4CDCEBC5" w:rsidR="00E70A8E" w:rsidRPr="005C1B18" w:rsidRDefault="00433D6B" w:rsidP="00433D6B">
      <w:pPr>
        <w:pStyle w:val="ListParagraph"/>
        <w:numPr>
          <w:ilvl w:val="2"/>
          <w:numId w:val="39"/>
        </w:numPr>
        <w:rPr>
          <w:rFonts w:cs="Arial"/>
          <w:iCs/>
          <w:lang w:val="en-US" w:eastAsia="ko-KR"/>
        </w:rPr>
      </w:pPr>
      <w:r w:rsidRPr="005C1B18">
        <w:rPr>
          <w:i/>
          <w:u w:val="single"/>
        </w:rPr>
        <w:t>SRS-Antenna-Switching-2T4R-NrofPairs</w:t>
      </w:r>
      <w:r w:rsidRPr="00433D6B">
        <w:rPr>
          <w:u w:val="single"/>
        </w:rPr>
        <w:t>:</w:t>
      </w:r>
      <w:r w:rsidRPr="00433D6B">
        <w:t xml:space="preserve"> </w:t>
      </w:r>
      <w:r>
        <w:t>Number of antenna pairs</w:t>
      </w:r>
      <w:r w:rsidR="00B7095A">
        <w:t xml:space="preserve"> </w:t>
      </w:r>
      <w:r w:rsidR="00B7095A">
        <w:rPr>
          <w:lang w:eastAsia="x-none"/>
        </w:rPr>
        <w:t>(Λ in TS 36.213, Clause 8.2)</w:t>
      </w:r>
      <w:r w:rsidR="003E6CEF">
        <w:rPr>
          <w:lang w:eastAsia="x-none"/>
        </w:rPr>
        <w:t>.</w:t>
      </w:r>
      <w:bookmarkStart w:id="1" w:name="_GoBack"/>
      <w:bookmarkEnd w:id="1"/>
    </w:p>
    <w:p w14:paraId="1E2E3C19" w14:textId="7D2FA7D1" w:rsidR="00E70A8E" w:rsidRPr="001F0DF5" w:rsidRDefault="00E70A8E" w:rsidP="00A10FDA">
      <w:pPr>
        <w:rPr>
          <w:u w:val="single"/>
          <w:lang w:eastAsia="ko-KR"/>
        </w:rPr>
      </w:pPr>
      <w:r>
        <w:rPr>
          <w:rFonts w:cs="Arial"/>
          <w:iCs/>
          <w:lang w:val="en-US" w:eastAsia="ko-KR"/>
        </w:rPr>
        <w:t xml:space="preserve">The UE cannot be simultaneously configured with </w:t>
      </w:r>
      <w:r w:rsidRPr="00AF62CD">
        <w:rPr>
          <w:i/>
          <w:u w:val="single"/>
          <w:lang w:eastAsia="ko-KR"/>
        </w:rPr>
        <w:t>SRS-Antenna-Switching-1T4R</w:t>
      </w:r>
      <w:r w:rsidRPr="003E7F3D">
        <w:rPr>
          <w:i/>
          <w:lang w:eastAsia="ko-KR"/>
        </w:rPr>
        <w:t xml:space="preserve"> </w:t>
      </w:r>
      <w:r w:rsidRPr="003E7F3D">
        <w:rPr>
          <w:lang w:eastAsia="ko-KR"/>
        </w:rPr>
        <w:t xml:space="preserve">and </w:t>
      </w:r>
      <w:r w:rsidRPr="00AF62CD">
        <w:rPr>
          <w:i/>
          <w:u w:val="single"/>
          <w:lang w:eastAsia="ko-KR"/>
        </w:rPr>
        <w:t>SRS-Antenna-Switching-2T4R</w:t>
      </w:r>
      <w:r w:rsidR="001F0DF5">
        <w:rPr>
          <w:u w:val="single"/>
          <w:lang w:eastAsia="ko-KR"/>
        </w:rPr>
        <w:t xml:space="preserve"> in a given serving cell. </w:t>
      </w:r>
      <w:r w:rsidR="001F0DF5" w:rsidRPr="00433D6B">
        <w:rPr>
          <w:lang w:eastAsia="ko-KR"/>
        </w:rPr>
        <w:t xml:space="preserve">The UE cannot be simultaneously configured with </w:t>
      </w:r>
      <w:r w:rsidR="001F0DF5" w:rsidRPr="00AF62CD">
        <w:rPr>
          <w:i/>
          <w:u w:val="single"/>
          <w:lang w:eastAsia="ko-KR"/>
        </w:rPr>
        <w:t>SRS-Antenna-Switching-2T4R</w:t>
      </w:r>
      <w:r w:rsidR="001F0DF5" w:rsidRPr="003E7F3D">
        <w:rPr>
          <w:lang w:eastAsia="ko-KR"/>
        </w:rPr>
        <w:t xml:space="preserve"> and legacy paramete</w:t>
      </w:r>
      <w:r w:rsidR="003E7F3D">
        <w:rPr>
          <w:lang w:eastAsia="ko-KR"/>
        </w:rPr>
        <w:t xml:space="preserve">r </w:t>
      </w:r>
      <w:proofErr w:type="spellStart"/>
      <w:r w:rsidR="001F0DF5" w:rsidRPr="003E7F3D">
        <w:rPr>
          <w:i/>
          <w:iCs/>
          <w:u w:val="single"/>
        </w:rPr>
        <w:t>ue-TransmitAntennaSelection</w:t>
      </w:r>
      <w:proofErr w:type="spellEnd"/>
      <w:r w:rsidR="001F0DF5">
        <w:rPr>
          <w:i/>
          <w:iCs/>
        </w:rPr>
        <w:t>.</w:t>
      </w:r>
    </w:p>
    <w:p w14:paraId="1055F2F4" w14:textId="4C5624FA" w:rsidR="001F0DF5" w:rsidRDefault="001F0DF5" w:rsidP="00A10FDA">
      <w:pPr>
        <w:rPr>
          <w:rFonts w:cs="Arial"/>
          <w:iCs/>
          <w:lang w:val="en-US" w:eastAsia="ko-KR"/>
        </w:rPr>
      </w:pPr>
    </w:p>
    <w:p w14:paraId="715A6E5A" w14:textId="134C7756" w:rsidR="00677245" w:rsidRPr="00A10FDA" w:rsidRDefault="00E70A8E" w:rsidP="00A10FDA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 xml:space="preserve">Additionally, </w:t>
      </w:r>
      <w:r w:rsidR="00117A35">
        <w:rPr>
          <w:rFonts w:cs="Arial"/>
          <w:iCs/>
          <w:lang w:val="en-US" w:eastAsia="ko-KR"/>
        </w:rPr>
        <w:t>RAN1 reached the following agreements</w:t>
      </w:r>
      <w:r>
        <w:rPr>
          <w:rFonts w:cs="Arial"/>
          <w:iCs/>
          <w:lang w:val="en-US" w:eastAsia="ko-KR"/>
        </w:rPr>
        <w:t xml:space="preserve"> regarding UE capability</w:t>
      </w:r>
      <w:r w:rsidR="00117A35">
        <w:rPr>
          <w:rFonts w:cs="Arial"/>
          <w:iCs/>
          <w:lang w:val="en-US" w:eastAsia="ko-KR"/>
        </w:rPr>
        <w:t>:</w:t>
      </w:r>
    </w:p>
    <w:p w14:paraId="4F2C6F8E" w14:textId="114F002B" w:rsidR="00A10FDA" w:rsidRDefault="00A10FDA" w:rsidP="00A10FDA">
      <w:pPr>
        <w:rPr>
          <w:lang w:val="en-US"/>
        </w:rPr>
      </w:pPr>
    </w:p>
    <w:p w14:paraId="3583BF7C" w14:textId="3B3B6BAC" w:rsidR="00117A35" w:rsidRPr="006D0450" w:rsidRDefault="004E2EAE" w:rsidP="00D767F8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</w:pPr>
      <w:r>
        <w:rPr>
          <w:lang w:eastAsia="x-none"/>
        </w:rPr>
        <w:t>Consider the configuration parameters that were introduced in CR1075</w:t>
      </w:r>
      <w:r w:rsidR="002824C4">
        <w:rPr>
          <w:lang w:eastAsia="x-none"/>
        </w:rPr>
        <w:t xml:space="preserve"> and i</w:t>
      </w:r>
      <w:r>
        <w:rPr>
          <w:lang w:eastAsia="x-none"/>
        </w:rPr>
        <w:t xml:space="preserve">ntroduce the following independent UE capabilities for SRS antenna switching per </w:t>
      </w:r>
      <w:proofErr w:type="spellStart"/>
      <w:r>
        <w:rPr>
          <w:lang w:eastAsia="x-none"/>
        </w:rPr>
        <w:t>BoBC</w:t>
      </w:r>
      <w:proofErr w:type="spellEnd"/>
      <w:r w:rsidR="00117A35" w:rsidRPr="006D0450">
        <w:t>.</w:t>
      </w:r>
    </w:p>
    <w:p w14:paraId="6DD5D857" w14:textId="77777777" w:rsidR="004E2EAE" w:rsidRDefault="004E2EAE" w:rsidP="004E2EAE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>
        <w:rPr>
          <w:lang w:eastAsia="x-none"/>
        </w:rPr>
        <w:t xml:space="preserve">Support of </w:t>
      </w:r>
      <w:r w:rsidRPr="003E7F3D">
        <w:rPr>
          <w:i/>
          <w:u w:val="single"/>
          <w:lang w:eastAsia="x-none"/>
        </w:rPr>
        <w:t>SRS-Antenna-Switching-1T4R</w:t>
      </w:r>
      <w:r>
        <w:rPr>
          <w:lang w:eastAsia="x-none"/>
        </w:rPr>
        <w:t>: Indicates the UE supports 1T4R in the corresponding band of combination.</w:t>
      </w:r>
    </w:p>
    <w:p w14:paraId="3FD97002" w14:textId="76625348" w:rsidR="004E2EAE" w:rsidRDefault="004E2EAE" w:rsidP="004E2EAE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>
        <w:rPr>
          <w:lang w:eastAsia="x-none"/>
        </w:rPr>
        <w:t xml:space="preserve">Support of </w:t>
      </w:r>
      <w:r w:rsidRPr="003E7F3D">
        <w:rPr>
          <w:i/>
          <w:u w:val="single"/>
          <w:lang w:eastAsia="x-none"/>
        </w:rPr>
        <w:t>SRS-Antenna-Switching-2T4R</w:t>
      </w:r>
      <w:r>
        <w:rPr>
          <w:lang w:eastAsia="x-none"/>
        </w:rPr>
        <w:t xml:space="preserve"> with </w:t>
      </w:r>
      <w:r w:rsidRPr="003E7F3D">
        <w:rPr>
          <w:i/>
          <w:u w:val="single"/>
          <w:lang w:eastAsia="x-none"/>
        </w:rPr>
        <w:t>SRS-Antenna-Switching-2T4R-NrofPairs</w:t>
      </w:r>
      <w:r w:rsidR="003E7F3D">
        <w:rPr>
          <w:lang w:eastAsia="x-none"/>
        </w:rPr>
        <w:t xml:space="preserve"> </w:t>
      </w:r>
      <w:r>
        <w:rPr>
          <w:lang w:eastAsia="x-none"/>
        </w:rPr>
        <w:t>= 2: Indicates the UE supports 2T4R with two antenna pairs (Λ=2 in TS 36.213, Clause 8.2) for the corresponding band of band combination.</w:t>
      </w:r>
    </w:p>
    <w:p w14:paraId="13AAD49F" w14:textId="77777777" w:rsidR="004E2EAE" w:rsidRDefault="004E2EAE" w:rsidP="004E2EAE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>
        <w:rPr>
          <w:lang w:eastAsia="x-none"/>
        </w:rPr>
        <w:t xml:space="preserve">Support of </w:t>
      </w:r>
      <w:r w:rsidRPr="003E7F3D">
        <w:rPr>
          <w:i/>
          <w:u w:val="single"/>
          <w:lang w:eastAsia="x-none"/>
        </w:rPr>
        <w:t>SRS-Antenna-Switching-2T4R</w:t>
      </w:r>
      <w:r>
        <w:rPr>
          <w:lang w:eastAsia="x-none"/>
        </w:rPr>
        <w:t xml:space="preserve"> with </w:t>
      </w:r>
      <w:r w:rsidRPr="003E7F3D">
        <w:rPr>
          <w:i/>
          <w:u w:val="single"/>
          <w:lang w:eastAsia="x-none"/>
        </w:rPr>
        <w:t>SRS-Antenna-Switching-2T4R-NrofPairs</w:t>
      </w:r>
      <w:r>
        <w:rPr>
          <w:lang w:eastAsia="x-none"/>
        </w:rPr>
        <w:t xml:space="preserve"> = 3: Indicates the UE supports 2T4R with three antenna pairs (Λ=3 in TS 36.213, Clause 8.2) for the corresponding band of band combination.</w:t>
      </w:r>
    </w:p>
    <w:p w14:paraId="54452EC1" w14:textId="77777777" w:rsidR="00A10FDA" w:rsidRPr="004E2EAE" w:rsidRDefault="00A10FDA" w:rsidP="00A10FDA"/>
    <w:p w14:paraId="442B82E7" w14:textId="77777777" w:rsidR="00CC527D" w:rsidRPr="00A10FDA" w:rsidRDefault="00CC527D" w:rsidP="00CC527D">
      <w:pPr>
        <w:rPr>
          <w:rFonts w:cs="Arial"/>
          <w:iCs/>
          <w:lang w:val="en-US" w:eastAsia="ko-KR"/>
        </w:rPr>
      </w:pPr>
    </w:p>
    <w:p w14:paraId="619FE2E5" w14:textId="42CC0ED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RAN2:</w:t>
      </w:r>
    </w:p>
    <w:p w14:paraId="4731F6EA" w14:textId="24255C63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 xml:space="preserve">RAN1 respectfully requests RAN2 to </w:t>
      </w:r>
      <w:r w:rsidR="006B3C8A" w:rsidRPr="00A10FDA">
        <w:rPr>
          <w:rFonts w:cs="Arial"/>
          <w:iCs/>
          <w:lang w:val="en-US"/>
        </w:rPr>
        <w:t xml:space="preserve">take the above information into account and </w:t>
      </w:r>
      <w:r w:rsidR="00A10FDA" w:rsidRPr="00A10FDA">
        <w:rPr>
          <w:rFonts w:cs="Arial"/>
          <w:iCs/>
          <w:lang w:val="en-US"/>
        </w:rPr>
        <w:t xml:space="preserve">implement the </w:t>
      </w:r>
      <w:proofErr w:type="gramStart"/>
      <w:r w:rsidR="00A10FDA" w:rsidRPr="00A10FDA">
        <w:rPr>
          <w:rFonts w:cs="Arial"/>
          <w:iCs/>
          <w:lang w:val="en-US"/>
        </w:rPr>
        <w:t xml:space="preserve">aforementioned </w:t>
      </w:r>
      <w:r w:rsidR="00117A35">
        <w:rPr>
          <w:rFonts w:cs="Arial"/>
          <w:iCs/>
          <w:lang w:val="en-US"/>
        </w:rPr>
        <w:t>capability</w:t>
      </w:r>
      <w:proofErr w:type="gramEnd"/>
      <w:r w:rsidR="00117A35">
        <w:rPr>
          <w:rFonts w:cs="Arial"/>
          <w:iCs/>
          <w:lang w:val="en-US"/>
        </w:rPr>
        <w:t xml:space="preserve"> </w:t>
      </w:r>
      <w:r w:rsidR="00E70A8E">
        <w:rPr>
          <w:rFonts w:cs="Arial"/>
          <w:iCs/>
          <w:lang w:val="en-US"/>
        </w:rPr>
        <w:t xml:space="preserve">and configuration </w:t>
      </w:r>
      <w:r w:rsidR="00A10FDA" w:rsidRPr="00A10FDA">
        <w:rPr>
          <w:rFonts w:cs="Arial"/>
          <w:iCs/>
          <w:lang w:val="en-US"/>
        </w:rPr>
        <w:t>signaling.</w:t>
      </w:r>
    </w:p>
    <w:p w14:paraId="29541211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lastRenderedPageBreak/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66C764C" w14:textId="73F44D3C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20</w:t>
      </w:r>
      <w:r w:rsidRPr="00A10FDA">
        <w:rPr>
          <w:lang w:val="en-US"/>
        </w:rPr>
        <w:t xml:space="preserve"> - </w:t>
      </w:r>
      <w:r>
        <w:rPr>
          <w:lang w:val="en-US"/>
        </w:rPr>
        <w:t>24</w:t>
      </w:r>
      <w:r w:rsidRPr="00A10FDA">
        <w:rPr>
          <w:lang w:val="en-US"/>
        </w:rPr>
        <w:t xml:space="preserve"> </w:t>
      </w:r>
      <w:r>
        <w:rPr>
          <w:lang w:val="en-US"/>
        </w:rPr>
        <w:t>Aug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rPr>
          <w:rFonts w:cs="Arial"/>
          <w:bCs/>
          <w:lang w:val="en-US" w:eastAsia="ko-KR"/>
        </w:rPr>
        <w:t>Gothenburg, Sweden</w:t>
      </w:r>
    </w:p>
    <w:p w14:paraId="111866E5" w14:textId="2E0BFB60" w:rsidR="002824C4" w:rsidRDefault="002824C4" w:rsidP="002824C4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4bis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8</w:t>
      </w:r>
      <w:r w:rsidRPr="00A10FDA">
        <w:rPr>
          <w:lang w:val="en-US"/>
        </w:rPr>
        <w:t xml:space="preserve"> - </w:t>
      </w:r>
      <w:r>
        <w:rPr>
          <w:lang w:val="en-US"/>
        </w:rPr>
        <w:t>12</w:t>
      </w:r>
      <w:r w:rsidRPr="00A10FDA">
        <w:rPr>
          <w:lang w:val="en-US"/>
        </w:rPr>
        <w:t xml:space="preserve"> </w:t>
      </w:r>
      <w:r>
        <w:rPr>
          <w:lang w:val="en-US"/>
        </w:rPr>
        <w:t>Oct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rPr>
          <w:rFonts w:cs="Arial"/>
          <w:bCs/>
          <w:lang w:val="en-US" w:eastAsia="ko-KR"/>
        </w:rPr>
        <w:t>Chengdu, China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28977" w14:textId="77777777" w:rsidR="0009468B" w:rsidRDefault="0009468B">
      <w:r>
        <w:separator/>
      </w:r>
    </w:p>
  </w:endnote>
  <w:endnote w:type="continuationSeparator" w:id="0">
    <w:p w14:paraId="4C3D0096" w14:textId="77777777" w:rsidR="0009468B" w:rsidRDefault="00094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A1DED" w14:textId="77777777" w:rsidR="0009468B" w:rsidRDefault="0009468B">
      <w:r>
        <w:separator/>
      </w:r>
    </w:p>
  </w:footnote>
  <w:footnote w:type="continuationSeparator" w:id="0">
    <w:p w14:paraId="5CB7ED4A" w14:textId="77777777" w:rsidR="0009468B" w:rsidRDefault="00094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D215F7D"/>
    <w:multiLevelType w:val="hybridMultilevel"/>
    <w:tmpl w:val="12489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C37BD6"/>
    <w:multiLevelType w:val="hybridMultilevel"/>
    <w:tmpl w:val="07F23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23"/>
  </w:num>
  <w:num w:numId="4">
    <w:abstractNumId w:val="25"/>
  </w:num>
  <w:num w:numId="5">
    <w:abstractNumId w:val="18"/>
  </w:num>
  <w:num w:numId="6">
    <w:abstractNumId w:val="29"/>
  </w:num>
  <w:num w:numId="7">
    <w:abstractNumId w:val="33"/>
  </w:num>
  <w:num w:numId="8">
    <w:abstractNumId w:val="20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16"/>
  </w:num>
  <w:num w:numId="15">
    <w:abstractNumId w:val="22"/>
  </w:num>
  <w:num w:numId="16">
    <w:abstractNumId w:val="13"/>
  </w:num>
  <w:num w:numId="17">
    <w:abstractNumId w:val="6"/>
  </w:num>
  <w:num w:numId="18">
    <w:abstractNumId w:val="12"/>
  </w:num>
  <w:num w:numId="19">
    <w:abstractNumId w:val="27"/>
  </w:num>
  <w:num w:numId="20">
    <w:abstractNumId w:val="15"/>
  </w:num>
  <w:num w:numId="21">
    <w:abstractNumId w:val="10"/>
  </w:num>
  <w:num w:numId="22">
    <w:abstractNumId w:val="35"/>
  </w:num>
  <w:num w:numId="23">
    <w:abstractNumId w:val="19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6"/>
  </w:num>
  <w:num w:numId="28">
    <w:abstractNumId w:val="38"/>
  </w:num>
  <w:num w:numId="29">
    <w:abstractNumId w:val="8"/>
  </w:num>
  <w:num w:numId="30">
    <w:abstractNumId w:val="28"/>
  </w:num>
  <w:num w:numId="31">
    <w:abstractNumId w:val="21"/>
  </w:num>
  <w:num w:numId="32">
    <w:abstractNumId w:val="26"/>
  </w:num>
  <w:num w:numId="33">
    <w:abstractNumId w:val="14"/>
  </w:num>
  <w:num w:numId="34">
    <w:abstractNumId w:val="30"/>
  </w:num>
  <w:num w:numId="35">
    <w:abstractNumId w:val="24"/>
  </w:num>
  <w:num w:numId="36">
    <w:abstractNumId w:val="37"/>
  </w:num>
  <w:num w:numId="37">
    <w:abstractNumId w:val="11"/>
  </w:num>
  <w:num w:numId="38">
    <w:abstractNumId w:val="9"/>
  </w:num>
  <w:num w:numId="39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468B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25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0DF5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4C4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0AEF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6CEF"/>
    <w:rsid w:val="003E74E3"/>
    <w:rsid w:val="003E7F3D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3D6B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3898"/>
    <w:rsid w:val="004D36B1"/>
    <w:rsid w:val="004D7EBD"/>
    <w:rsid w:val="004E2680"/>
    <w:rsid w:val="004E28F9"/>
    <w:rsid w:val="004E2EAE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6F90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1B18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286A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4678D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3A00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095A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B5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155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0A8E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C25D6-EDAF-46D4-AE5F-D13428D18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9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Le Liu</cp:lastModifiedBy>
  <cp:revision>10</cp:revision>
  <cp:lastPrinted>2008-01-31T06:09:00Z</cp:lastPrinted>
  <dcterms:created xsi:type="dcterms:W3CDTF">2018-05-23T03:28:00Z</dcterms:created>
  <dcterms:modified xsi:type="dcterms:W3CDTF">2018-05-23T03:37:00Z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